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254A" w:rsidRDefault="00000950">
      <w:pPr>
        <w:pBdr>
          <w:top w:val="nil"/>
          <w:left w:val="nil"/>
          <w:bottom w:val="nil"/>
          <w:right w:val="nil"/>
          <w:between w:val="nil"/>
        </w:pBdr>
        <w:spacing w:line="360" w:lineRule="auto"/>
        <w:ind w:left="1" w:hanging="3"/>
        <w:jc w:val="center"/>
        <w:rPr>
          <w:color w:val="000000"/>
          <w:sz w:val="28"/>
          <w:szCs w:val="28"/>
        </w:rPr>
      </w:pPr>
      <w:r>
        <w:rPr>
          <w:color w:val="000000"/>
          <w:sz w:val="28"/>
          <w:szCs w:val="28"/>
        </w:rPr>
        <w:tab/>
      </w:r>
      <w:r>
        <w:rPr>
          <w:b/>
          <w:color w:val="000000"/>
          <w:sz w:val="28"/>
          <w:szCs w:val="28"/>
        </w:rPr>
        <w:t>1.2.  СИСТЕМА УПРАВЛЕНИЯ ОБРАЗОВАТЕЛЬНЫМ УЧРЕЖДЕНИЕМ</w:t>
      </w:r>
    </w:p>
    <w:p w:rsidR="006D63A1"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Pr>
          <w:color w:val="000000"/>
          <w:sz w:val="28"/>
          <w:szCs w:val="28"/>
        </w:rPr>
        <w:t>С целью обеспечения выполнения уставных требований и для эффективного</w:t>
      </w:r>
      <w:r>
        <w:rPr>
          <w:color w:val="000000"/>
        </w:rPr>
        <w:t xml:space="preserve"> </w:t>
      </w:r>
      <w:proofErr w:type="gramStart"/>
      <w:r>
        <w:rPr>
          <w:color w:val="000000"/>
          <w:sz w:val="28"/>
          <w:szCs w:val="28"/>
        </w:rPr>
        <w:t>взаимодействия  структурных</w:t>
      </w:r>
      <w:proofErr w:type="gramEnd"/>
      <w:r>
        <w:rPr>
          <w:color w:val="000000"/>
          <w:sz w:val="28"/>
          <w:szCs w:val="28"/>
        </w:rPr>
        <w:t xml:space="preserve"> подразделений, рационального использования материальных, информационных и интеллектуальных ресурсов в учреждении имеется структура управления образовательным учреждением.</w:t>
      </w:r>
    </w:p>
    <w:p w:rsidR="006D63A1" w:rsidRDefault="006D63A1" w:rsidP="006D63A1">
      <w:pPr>
        <w:pBdr>
          <w:top w:val="nil"/>
          <w:left w:val="nil"/>
          <w:bottom w:val="nil"/>
          <w:right w:val="nil"/>
          <w:between w:val="nil"/>
        </w:pBdr>
        <w:spacing w:line="360" w:lineRule="auto"/>
        <w:ind w:left="1" w:hanging="3"/>
        <w:jc w:val="both"/>
        <w:rPr>
          <w:color w:val="000000"/>
          <w:sz w:val="28"/>
          <w:szCs w:val="28"/>
        </w:rPr>
      </w:pPr>
      <w:r>
        <w:rPr>
          <w:color w:val="000000"/>
          <w:sz w:val="28"/>
          <w:szCs w:val="28"/>
        </w:rPr>
        <w:t>Система управления строится на принципах: единоначалия, коллегиальности и самоуправления, законности и демократии, открытости, приоритетов общечеловеческих ценностей, охраны жизни и здоровья человека, свободного развития личности.</w:t>
      </w:r>
    </w:p>
    <w:p w:rsidR="006D63A1"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Pr>
          <w:color w:val="000000"/>
          <w:sz w:val="28"/>
          <w:szCs w:val="28"/>
        </w:rPr>
        <w:tab/>
        <w:t xml:space="preserve">В 2016 году в учреждении создан Наблюдательный совет учреждения, являющийся выборным представительным и коллегиальным органом государственно-общественного управления учреждения. </w:t>
      </w:r>
    </w:p>
    <w:p w:rsidR="006D63A1" w:rsidRPr="00700E99"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sidRPr="00700E99">
        <w:rPr>
          <w:color w:val="000000"/>
          <w:sz w:val="28"/>
          <w:szCs w:val="28"/>
        </w:rPr>
        <w:t>В 201</w:t>
      </w:r>
      <w:r w:rsidRPr="00700E99">
        <w:rPr>
          <w:sz w:val="28"/>
          <w:szCs w:val="28"/>
        </w:rPr>
        <w:t>9</w:t>
      </w:r>
      <w:r w:rsidRPr="00700E99">
        <w:rPr>
          <w:color w:val="000000"/>
          <w:sz w:val="28"/>
          <w:szCs w:val="28"/>
        </w:rPr>
        <w:t xml:space="preserve"> году проведено 2 заседаний Наблюдательного совета. Повестка каждого заседания и дата его проведения сведена в таблицу ниже (Таблица </w:t>
      </w:r>
      <w:r>
        <w:rPr>
          <w:color w:val="000000"/>
          <w:sz w:val="28"/>
          <w:szCs w:val="28"/>
        </w:rPr>
        <w:t>8</w:t>
      </w:r>
      <w:r w:rsidRPr="00700E99">
        <w:rPr>
          <w:color w:val="000000"/>
          <w:sz w:val="28"/>
          <w:szCs w:val="28"/>
        </w:rPr>
        <w:t>).</w:t>
      </w:r>
    </w:p>
    <w:p w:rsidR="006D63A1" w:rsidRPr="00700E99" w:rsidRDefault="006D63A1" w:rsidP="006D63A1">
      <w:pPr>
        <w:pBdr>
          <w:top w:val="nil"/>
          <w:left w:val="nil"/>
          <w:bottom w:val="nil"/>
          <w:right w:val="nil"/>
          <w:between w:val="nil"/>
        </w:pBdr>
        <w:spacing w:line="360" w:lineRule="auto"/>
        <w:ind w:left="1" w:hanging="3"/>
        <w:jc w:val="center"/>
        <w:rPr>
          <w:color w:val="000000"/>
          <w:sz w:val="28"/>
          <w:szCs w:val="28"/>
        </w:rPr>
      </w:pPr>
      <w:r w:rsidRPr="00700E99">
        <w:rPr>
          <w:color w:val="000000"/>
          <w:sz w:val="28"/>
          <w:szCs w:val="28"/>
        </w:rPr>
        <w:t xml:space="preserve">Таблица </w:t>
      </w:r>
      <w:r>
        <w:rPr>
          <w:color w:val="000000"/>
          <w:sz w:val="28"/>
          <w:szCs w:val="28"/>
        </w:rPr>
        <w:t>8</w:t>
      </w:r>
      <w:r w:rsidRPr="00700E99">
        <w:rPr>
          <w:color w:val="000000"/>
          <w:sz w:val="28"/>
          <w:szCs w:val="28"/>
        </w:rPr>
        <w:t>. Перечень заседаний Наблюдательного совета за 201</w:t>
      </w:r>
      <w:r w:rsidRPr="00700E99">
        <w:rPr>
          <w:sz w:val="28"/>
          <w:szCs w:val="28"/>
        </w:rPr>
        <w:t>9</w:t>
      </w:r>
      <w:r w:rsidRPr="00700E99">
        <w:rPr>
          <w:color w:val="000000"/>
          <w:sz w:val="28"/>
          <w:szCs w:val="28"/>
        </w:rPr>
        <w:t xml:space="preserve"> г.</w:t>
      </w:r>
    </w:p>
    <w:tbl>
      <w:tblPr>
        <w:tblW w:w="94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1701"/>
        <w:gridCol w:w="6804"/>
      </w:tblGrid>
      <w:tr w:rsidR="006D63A1" w:rsidRPr="006D63A1" w:rsidTr="00BC4CF9">
        <w:trPr>
          <w:trHeight w:val="413"/>
        </w:trPr>
        <w:tc>
          <w:tcPr>
            <w:tcW w:w="993" w:type="dxa"/>
            <w:vMerge w:val="restart"/>
            <w:vAlign w:val="center"/>
          </w:tcPr>
          <w:p w:rsidR="006D63A1" w:rsidRPr="006D63A1" w:rsidRDefault="006D63A1" w:rsidP="00BC4CF9">
            <w:pPr>
              <w:pBdr>
                <w:top w:val="nil"/>
                <w:left w:val="nil"/>
                <w:bottom w:val="nil"/>
                <w:right w:val="nil"/>
                <w:between w:val="nil"/>
              </w:pBdr>
              <w:ind w:left="0" w:hanging="2"/>
              <w:jc w:val="center"/>
              <w:rPr>
                <w:color w:val="000000"/>
              </w:rPr>
            </w:pPr>
            <w:r w:rsidRPr="006D63A1">
              <w:rPr>
                <w:color w:val="000000"/>
              </w:rPr>
              <w:t>№ протокола</w:t>
            </w:r>
          </w:p>
        </w:tc>
        <w:tc>
          <w:tcPr>
            <w:tcW w:w="1701" w:type="dxa"/>
            <w:vMerge w:val="restart"/>
            <w:vAlign w:val="center"/>
          </w:tcPr>
          <w:p w:rsidR="006D63A1" w:rsidRPr="006D63A1" w:rsidRDefault="006D63A1" w:rsidP="00BC4CF9">
            <w:pPr>
              <w:pBdr>
                <w:top w:val="nil"/>
                <w:left w:val="nil"/>
                <w:bottom w:val="nil"/>
                <w:right w:val="nil"/>
                <w:between w:val="nil"/>
              </w:pBdr>
              <w:ind w:left="0" w:hanging="2"/>
              <w:jc w:val="center"/>
              <w:rPr>
                <w:color w:val="000000"/>
              </w:rPr>
            </w:pPr>
            <w:r w:rsidRPr="006D63A1">
              <w:rPr>
                <w:color w:val="000000"/>
              </w:rPr>
              <w:t xml:space="preserve">Дата </w:t>
            </w:r>
          </w:p>
        </w:tc>
        <w:tc>
          <w:tcPr>
            <w:tcW w:w="6804" w:type="dxa"/>
            <w:vMerge w:val="restart"/>
            <w:vAlign w:val="center"/>
          </w:tcPr>
          <w:p w:rsidR="006D63A1" w:rsidRPr="006D63A1" w:rsidRDefault="006D63A1" w:rsidP="00BC4CF9">
            <w:pPr>
              <w:pBdr>
                <w:top w:val="nil"/>
                <w:left w:val="nil"/>
                <w:bottom w:val="nil"/>
                <w:right w:val="nil"/>
                <w:between w:val="nil"/>
              </w:pBdr>
              <w:ind w:left="0" w:hanging="2"/>
              <w:jc w:val="center"/>
              <w:rPr>
                <w:color w:val="000000"/>
              </w:rPr>
            </w:pPr>
            <w:r w:rsidRPr="006D63A1">
              <w:rPr>
                <w:color w:val="000000"/>
              </w:rPr>
              <w:t>Повестка</w:t>
            </w:r>
          </w:p>
        </w:tc>
      </w:tr>
      <w:tr w:rsidR="006D63A1" w:rsidRPr="006D63A1" w:rsidTr="00BC4CF9">
        <w:trPr>
          <w:trHeight w:val="412"/>
        </w:trPr>
        <w:tc>
          <w:tcPr>
            <w:tcW w:w="993" w:type="dxa"/>
            <w:vMerge/>
            <w:vAlign w:val="center"/>
          </w:tcPr>
          <w:p w:rsidR="006D63A1" w:rsidRPr="006D63A1" w:rsidRDefault="006D63A1" w:rsidP="00BC4CF9">
            <w:pPr>
              <w:widowControl w:val="0"/>
              <w:pBdr>
                <w:top w:val="nil"/>
                <w:left w:val="nil"/>
                <w:bottom w:val="nil"/>
                <w:right w:val="nil"/>
                <w:between w:val="nil"/>
              </w:pBdr>
              <w:spacing w:line="276" w:lineRule="auto"/>
              <w:ind w:left="0" w:hanging="2"/>
              <w:rPr>
                <w:color w:val="000000"/>
              </w:rPr>
            </w:pPr>
          </w:p>
        </w:tc>
        <w:tc>
          <w:tcPr>
            <w:tcW w:w="1701" w:type="dxa"/>
            <w:vMerge/>
            <w:vAlign w:val="center"/>
          </w:tcPr>
          <w:p w:rsidR="006D63A1" w:rsidRPr="006D63A1" w:rsidRDefault="006D63A1" w:rsidP="00BC4CF9">
            <w:pPr>
              <w:widowControl w:val="0"/>
              <w:pBdr>
                <w:top w:val="nil"/>
                <w:left w:val="nil"/>
                <w:bottom w:val="nil"/>
                <w:right w:val="nil"/>
                <w:between w:val="nil"/>
              </w:pBdr>
              <w:spacing w:line="276" w:lineRule="auto"/>
              <w:ind w:left="0" w:hanging="2"/>
              <w:rPr>
                <w:color w:val="000000"/>
              </w:rPr>
            </w:pPr>
          </w:p>
        </w:tc>
        <w:tc>
          <w:tcPr>
            <w:tcW w:w="6804" w:type="dxa"/>
            <w:vMerge/>
            <w:vAlign w:val="center"/>
          </w:tcPr>
          <w:p w:rsidR="006D63A1" w:rsidRPr="006D63A1" w:rsidRDefault="006D63A1" w:rsidP="00BC4CF9">
            <w:pPr>
              <w:widowControl w:val="0"/>
              <w:pBdr>
                <w:top w:val="nil"/>
                <w:left w:val="nil"/>
                <w:bottom w:val="nil"/>
                <w:right w:val="nil"/>
                <w:between w:val="nil"/>
              </w:pBdr>
              <w:spacing w:line="276" w:lineRule="auto"/>
              <w:ind w:left="0" w:hanging="2"/>
              <w:rPr>
                <w:color w:val="000000"/>
              </w:rPr>
            </w:pPr>
          </w:p>
        </w:tc>
      </w:tr>
      <w:tr w:rsidR="006D63A1" w:rsidRPr="006D63A1" w:rsidTr="00BC4CF9">
        <w:tc>
          <w:tcPr>
            <w:tcW w:w="993" w:type="dxa"/>
          </w:tcPr>
          <w:p w:rsidR="006D63A1" w:rsidRPr="006D63A1" w:rsidRDefault="006D63A1" w:rsidP="00BC4CF9">
            <w:pPr>
              <w:pBdr>
                <w:top w:val="nil"/>
                <w:left w:val="nil"/>
                <w:bottom w:val="nil"/>
                <w:right w:val="nil"/>
                <w:between w:val="nil"/>
              </w:pBdr>
              <w:ind w:left="0" w:hanging="2"/>
              <w:jc w:val="center"/>
              <w:rPr>
                <w:color w:val="000000"/>
              </w:rPr>
            </w:pPr>
            <w:r w:rsidRPr="006D63A1">
              <w:rPr>
                <w:color w:val="000000"/>
              </w:rPr>
              <w:t>1</w:t>
            </w:r>
          </w:p>
        </w:tc>
        <w:tc>
          <w:tcPr>
            <w:tcW w:w="1701" w:type="dxa"/>
          </w:tcPr>
          <w:p w:rsidR="006D63A1" w:rsidRPr="006D63A1" w:rsidRDefault="006D63A1" w:rsidP="00BC4CF9">
            <w:pPr>
              <w:pBdr>
                <w:top w:val="nil"/>
                <w:left w:val="nil"/>
                <w:bottom w:val="nil"/>
                <w:right w:val="nil"/>
                <w:between w:val="nil"/>
              </w:pBdr>
              <w:ind w:left="0" w:hanging="2"/>
              <w:jc w:val="center"/>
              <w:rPr>
                <w:color w:val="000000"/>
              </w:rPr>
            </w:pPr>
            <w:r w:rsidRPr="006D63A1">
              <w:rPr>
                <w:color w:val="000000"/>
              </w:rPr>
              <w:t>2</w:t>
            </w:r>
            <w:r w:rsidRPr="006D63A1">
              <w:t>0</w:t>
            </w:r>
            <w:r w:rsidRPr="006D63A1">
              <w:rPr>
                <w:color w:val="000000"/>
              </w:rPr>
              <w:t>.0</w:t>
            </w:r>
            <w:r w:rsidRPr="006D63A1">
              <w:t>3</w:t>
            </w:r>
            <w:r w:rsidRPr="006D63A1">
              <w:rPr>
                <w:color w:val="000000"/>
              </w:rPr>
              <w:t>.201</w:t>
            </w:r>
            <w:r w:rsidRPr="006D63A1">
              <w:t>9</w:t>
            </w:r>
          </w:p>
        </w:tc>
        <w:tc>
          <w:tcPr>
            <w:tcW w:w="6804" w:type="dxa"/>
          </w:tcPr>
          <w:p w:rsidR="006D63A1" w:rsidRPr="006D63A1" w:rsidRDefault="006D63A1" w:rsidP="00BC4CF9">
            <w:pPr>
              <w:pBdr>
                <w:top w:val="nil"/>
                <w:left w:val="nil"/>
                <w:bottom w:val="nil"/>
                <w:right w:val="nil"/>
                <w:between w:val="nil"/>
              </w:pBdr>
              <w:ind w:left="0" w:hanging="2"/>
              <w:rPr>
                <w:color w:val="000000"/>
              </w:rPr>
            </w:pPr>
            <w:r w:rsidRPr="006D63A1">
              <w:rPr>
                <w:color w:val="000000"/>
              </w:rPr>
              <w:t xml:space="preserve">1. </w:t>
            </w:r>
            <w:r w:rsidRPr="006D63A1">
              <w:t>Утверждение планов финансово-хозяйственной деятельности и утверждение годовой бухгалтерской отчетности колледжа за 2018 год.</w:t>
            </w:r>
          </w:p>
          <w:p w:rsidR="006D63A1" w:rsidRPr="006D63A1" w:rsidRDefault="006D63A1" w:rsidP="00BC4CF9">
            <w:pPr>
              <w:pBdr>
                <w:top w:val="nil"/>
                <w:left w:val="nil"/>
                <w:bottom w:val="nil"/>
                <w:right w:val="nil"/>
                <w:between w:val="nil"/>
              </w:pBdr>
              <w:ind w:left="0" w:hanging="2"/>
              <w:rPr>
                <w:color w:val="000000"/>
              </w:rPr>
            </w:pPr>
            <w:r w:rsidRPr="006D63A1">
              <w:rPr>
                <w:color w:val="000000"/>
              </w:rPr>
              <w:t xml:space="preserve">2. </w:t>
            </w:r>
            <w:r w:rsidRPr="006D63A1">
              <w:t>Рассмотрение</w:t>
            </w:r>
            <w:r w:rsidRPr="006D63A1">
              <w:rPr>
                <w:color w:val="000000"/>
              </w:rPr>
              <w:t xml:space="preserve"> плана финансово-хозяйственной деятельности колледжа </w:t>
            </w:r>
            <w:r w:rsidRPr="006D63A1">
              <w:t>н</w:t>
            </w:r>
            <w:r w:rsidRPr="006D63A1">
              <w:rPr>
                <w:color w:val="000000"/>
              </w:rPr>
              <w:t>а 201</w:t>
            </w:r>
            <w:r w:rsidRPr="006D63A1">
              <w:t>9</w:t>
            </w:r>
            <w:r w:rsidRPr="006D63A1">
              <w:rPr>
                <w:color w:val="000000"/>
              </w:rPr>
              <w:t xml:space="preserve"> год.</w:t>
            </w:r>
          </w:p>
          <w:p w:rsidR="006D63A1" w:rsidRPr="006D63A1" w:rsidRDefault="006D63A1" w:rsidP="00BC4CF9">
            <w:pPr>
              <w:pBdr>
                <w:top w:val="nil"/>
                <w:left w:val="nil"/>
                <w:bottom w:val="nil"/>
                <w:right w:val="nil"/>
                <w:between w:val="nil"/>
              </w:pBdr>
              <w:ind w:left="0" w:hanging="2"/>
              <w:rPr>
                <w:color w:val="000000"/>
              </w:rPr>
            </w:pPr>
            <w:r w:rsidRPr="006D63A1">
              <w:rPr>
                <w:color w:val="000000"/>
              </w:rPr>
              <w:t xml:space="preserve">3. </w:t>
            </w:r>
            <w:r w:rsidRPr="006D63A1">
              <w:t>Предложение о внесении изменений в Положение о закупках товаров, работ, услуг КГА ПОУ ГАСКК МЦК, утвержденного протоколом заседания Наблюдательного совета от 29.12.2008 года №2/2018.</w:t>
            </w:r>
          </w:p>
        </w:tc>
      </w:tr>
      <w:tr w:rsidR="006D63A1" w:rsidRPr="006D63A1" w:rsidTr="00BC4CF9">
        <w:tc>
          <w:tcPr>
            <w:tcW w:w="993" w:type="dxa"/>
          </w:tcPr>
          <w:p w:rsidR="006D63A1" w:rsidRPr="006D63A1" w:rsidRDefault="006D63A1" w:rsidP="00BC4CF9">
            <w:pPr>
              <w:pBdr>
                <w:top w:val="nil"/>
                <w:left w:val="nil"/>
                <w:bottom w:val="nil"/>
                <w:right w:val="nil"/>
                <w:between w:val="nil"/>
              </w:pBdr>
              <w:ind w:left="0" w:hanging="2"/>
              <w:jc w:val="center"/>
              <w:rPr>
                <w:color w:val="000000"/>
              </w:rPr>
            </w:pPr>
            <w:r w:rsidRPr="006D63A1">
              <w:rPr>
                <w:color w:val="000000"/>
              </w:rPr>
              <w:t>2</w:t>
            </w:r>
          </w:p>
        </w:tc>
        <w:tc>
          <w:tcPr>
            <w:tcW w:w="1701" w:type="dxa"/>
          </w:tcPr>
          <w:p w:rsidR="006D63A1" w:rsidRPr="006D63A1" w:rsidRDefault="006D63A1" w:rsidP="00BC4CF9">
            <w:pPr>
              <w:pBdr>
                <w:top w:val="nil"/>
                <w:left w:val="nil"/>
                <w:bottom w:val="nil"/>
                <w:right w:val="nil"/>
                <w:between w:val="nil"/>
              </w:pBdr>
              <w:ind w:left="0" w:hanging="2"/>
              <w:jc w:val="center"/>
              <w:rPr>
                <w:color w:val="000000"/>
              </w:rPr>
            </w:pPr>
            <w:r w:rsidRPr="006D63A1">
              <w:rPr>
                <w:color w:val="000000"/>
              </w:rPr>
              <w:t>29.</w:t>
            </w:r>
            <w:r w:rsidRPr="006D63A1">
              <w:t>07</w:t>
            </w:r>
            <w:r w:rsidRPr="006D63A1">
              <w:rPr>
                <w:color w:val="000000"/>
              </w:rPr>
              <w:t>.201</w:t>
            </w:r>
            <w:r w:rsidRPr="006D63A1">
              <w:t>9</w:t>
            </w:r>
          </w:p>
        </w:tc>
        <w:tc>
          <w:tcPr>
            <w:tcW w:w="6804" w:type="dxa"/>
          </w:tcPr>
          <w:p w:rsidR="006D63A1" w:rsidRPr="006D63A1" w:rsidRDefault="006D63A1" w:rsidP="00BC4CF9">
            <w:pPr>
              <w:pBdr>
                <w:top w:val="nil"/>
                <w:left w:val="nil"/>
                <w:bottom w:val="nil"/>
                <w:right w:val="nil"/>
                <w:between w:val="nil"/>
              </w:pBdr>
              <w:ind w:left="0" w:hanging="2"/>
            </w:pPr>
            <w:r w:rsidRPr="006D63A1">
              <w:rPr>
                <w:color w:val="000000"/>
              </w:rPr>
              <w:t xml:space="preserve">1. </w:t>
            </w:r>
            <w:r w:rsidRPr="006D63A1">
              <w:t>Предложение генерального директора колледжа о безвозмездной передаче неиспользуемого, технически исправного, особо ценного движимого государственного имущества, закрепленного за колледжем.</w:t>
            </w:r>
          </w:p>
          <w:p w:rsidR="006D63A1" w:rsidRPr="006D63A1" w:rsidRDefault="006D63A1" w:rsidP="00BC4CF9">
            <w:pPr>
              <w:pBdr>
                <w:top w:val="nil"/>
                <w:left w:val="nil"/>
                <w:bottom w:val="nil"/>
                <w:right w:val="nil"/>
                <w:between w:val="nil"/>
              </w:pBdr>
              <w:ind w:left="0" w:hanging="2"/>
              <w:rPr>
                <w:color w:val="000000"/>
              </w:rPr>
            </w:pPr>
            <w:r w:rsidRPr="006D63A1">
              <w:t xml:space="preserve">2. </w:t>
            </w:r>
            <w:r w:rsidRPr="006D63A1">
              <w:rPr>
                <w:color w:val="000000"/>
              </w:rPr>
              <w:t xml:space="preserve"> </w:t>
            </w:r>
            <w:r w:rsidRPr="006D63A1">
              <w:t>Предложение генерального директора колледжа о передаче в аренду  недвижимого имущества, закрепленного за колледжем на праве оперативного управления.</w:t>
            </w:r>
          </w:p>
        </w:tc>
      </w:tr>
    </w:tbl>
    <w:p w:rsidR="006D63A1" w:rsidRDefault="006D63A1" w:rsidP="006D63A1">
      <w:pPr>
        <w:pBdr>
          <w:top w:val="nil"/>
          <w:left w:val="nil"/>
          <w:bottom w:val="nil"/>
          <w:right w:val="nil"/>
          <w:between w:val="nil"/>
        </w:pBdr>
        <w:spacing w:line="360" w:lineRule="auto"/>
        <w:ind w:left="1" w:hanging="3"/>
        <w:jc w:val="both"/>
        <w:rPr>
          <w:color w:val="000000"/>
          <w:sz w:val="28"/>
          <w:szCs w:val="28"/>
        </w:rPr>
      </w:pPr>
    </w:p>
    <w:p w:rsidR="006D63A1"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Pr>
          <w:color w:val="000000"/>
          <w:sz w:val="28"/>
          <w:szCs w:val="28"/>
        </w:rPr>
        <w:t>Коллегиальными органами управления учреждения являются Совет учреждения, Педагогический совет,</w:t>
      </w:r>
      <w:bookmarkStart w:id="0" w:name="_GoBack"/>
      <w:bookmarkEnd w:id="0"/>
      <w:r>
        <w:rPr>
          <w:color w:val="000000"/>
          <w:sz w:val="28"/>
          <w:szCs w:val="28"/>
        </w:rPr>
        <w:t xml:space="preserve"> Малый педагогический совет, Методический совет, предметно-цикловые комиссии, Общее собрание </w:t>
      </w:r>
      <w:r>
        <w:rPr>
          <w:color w:val="000000"/>
          <w:sz w:val="28"/>
          <w:szCs w:val="28"/>
        </w:rPr>
        <w:lastRenderedPageBreak/>
        <w:t>работников и представителей обучающихся. Структура, порядок формирования, компетенция форм органов коллегиального управления учреждения отражаются в локальных актах.</w:t>
      </w:r>
    </w:p>
    <w:p w:rsidR="006D63A1"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Pr>
          <w:color w:val="000000"/>
          <w:sz w:val="28"/>
          <w:szCs w:val="28"/>
        </w:rPr>
        <w:t xml:space="preserve">Общее собрание работников и </w:t>
      </w:r>
      <w:proofErr w:type="gramStart"/>
      <w:r>
        <w:rPr>
          <w:color w:val="000000"/>
          <w:sz w:val="28"/>
          <w:szCs w:val="28"/>
        </w:rPr>
        <w:t>представителей</w:t>
      </w:r>
      <w:proofErr w:type="gramEnd"/>
      <w:r>
        <w:rPr>
          <w:color w:val="000000"/>
          <w:sz w:val="28"/>
          <w:szCs w:val="28"/>
        </w:rPr>
        <w:t xml:space="preserve"> обучающихся собираются по решению Совета учреждения, но не реже одного раза в год. В учреждении создан выборный представительный орган – Совет учреждения, который собирается один раз в квартал.</w:t>
      </w:r>
    </w:p>
    <w:p w:rsidR="006D63A1"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Pr>
          <w:color w:val="000000"/>
          <w:sz w:val="28"/>
          <w:szCs w:val="28"/>
        </w:rPr>
        <w:tab/>
        <w:t xml:space="preserve">В целях управления образовательной деятельностью, совершенствования содержания образования, повышения качества обучения и воспитания обучающихся, содействия повышению квалификации педагогических работников, действует Педагогический Совет. В </w:t>
      </w:r>
      <w:proofErr w:type="gramStart"/>
      <w:r>
        <w:rPr>
          <w:color w:val="000000"/>
          <w:sz w:val="28"/>
          <w:szCs w:val="28"/>
        </w:rPr>
        <w:t>соответствии  с</w:t>
      </w:r>
      <w:proofErr w:type="gramEnd"/>
      <w:r>
        <w:rPr>
          <w:color w:val="000000"/>
          <w:sz w:val="28"/>
          <w:szCs w:val="28"/>
        </w:rPr>
        <w:t xml:space="preserve"> положением о педагогическом совете, в течение учебного года проходят не менее пяти тематических заседаний педагогических  советов.</w:t>
      </w:r>
    </w:p>
    <w:p w:rsidR="006D63A1"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Pr>
          <w:color w:val="000000"/>
          <w:sz w:val="28"/>
          <w:szCs w:val="28"/>
        </w:rPr>
        <w:tab/>
        <w:t>Для осуществления руководства учебной, воспитательной и методической работы создан Методический Совет. Он призван координировать усилия подструктур, педагогических сообществ и творчески работающих педагогов, направленных на развитие инновационной деятельности педагогического коллектива. Планирование работы этого органа охватывает спектр обозначенных вопросов. Заседания проводятся 3-4 раза в год.</w:t>
      </w:r>
    </w:p>
    <w:p w:rsidR="006D63A1" w:rsidRPr="00700E99"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Pr>
          <w:color w:val="000000"/>
          <w:sz w:val="28"/>
          <w:szCs w:val="28"/>
        </w:rPr>
        <w:tab/>
      </w:r>
      <w:r w:rsidRPr="00700E99">
        <w:rPr>
          <w:color w:val="000000"/>
          <w:sz w:val="28"/>
          <w:szCs w:val="28"/>
        </w:rPr>
        <w:t xml:space="preserve">С целью совершенствования   методической   подготовленности преподавателей к проведению учебно-воспитательной работы; развитие навыков активной самостоятельной работы преподавателей над совершенствованием своей квалификации; внесение предложений по аттестации преподавателей, входящих в состав предметно-цикловой комиссии; обеспечение ведения промежуточной аттестации </w:t>
      </w:r>
      <w:proofErr w:type="gramStart"/>
      <w:r w:rsidRPr="00700E99">
        <w:rPr>
          <w:color w:val="000000"/>
          <w:sz w:val="28"/>
          <w:szCs w:val="28"/>
        </w:rPr>
        <w:t>обучающихся  осуществляют</w:t>
      </w:r>
      <w:proofErr w:type="gramEnd"/>
      <w:r w:rsidRPr="00700E99">
        <w:rPr>
          <w:color w:val="000000"/>
          <w:sz w:val="28"/>
          <w:szCs w:val="28"/>
        </w:rPr>
        <w:t xml:space="preserve"> свою деятельность </w:t>
      </w:r>
      <w:r w:rsidRPr="00700E99">
        <w:rPr>
          <w:sz w:val="28"/>
          <w:szCs w:val="28"/>
        </w:rPr>
        <w:t xml:space="preserve">девять </w:t>
      </w:r>
      <w:r w:rsidRPr="00700E99">
        <w:rPr>
          <w:color w:val="000000"/>
          <w:sz w:val="28"/>
          <w:szCs w:val="28"/>
        </w:rPr>
        <w:t>предметно-цикловы</w:t>
      </w:r>
      <w:r w:rsidRPr="00700E99">
        <w:rPr>
          <w:sz w:val="28"/>
          <w:szCs w:val="28"/>
        </w:rPr>
        <w:t xml:space="preserve">х </w:t>
      </w:r>
      <w:proofErr w:type="spellStart"/>
      <w:r w:rsidRPr="00700E99">
        <w:rPr>
          <w:color w:val="000000"/>
          <w:sz w:val="28"/>
          <w:szCs w:val="28"/>
        </w:rPr>
        <w:t>омисси</w:t>
      </w:r>
      <w:r w:rsidRPr="00700E99">
        <w:rPr>
          <w:sz w:val="28"/>
          <w:szCs w:val="28"/>
        </w:rPr>
        <w:t>й</w:t>
      </w:r>
      <w:proofErr w:type="spellEnd"/>
      <w:r w:rsidRPr="00700E99">
        <w:rPr>
          <w:color w:val="000000"/>
          <w:sz w:val="28"/>
          <w:szCs w:val="28"/>
        </w:rPr>
        <w:t xml:space="preserve">: </w:t>
      </w:r>
    </w:p>
    <w:p w:rsidR="006D63A1" w:rsidRPr="00700E99" w:rsidRDefault="006D63A1" w:rsidP="006D63A1">
      <w:pPr>
        <w:numPr>
          <w:ilvl w:val="0"/>
          <w:numId w:val="1"/>
        </w:numPr>
        <w:pBdr>
          <w:top w:val="nil"/>
          <w:left w:val="nil"/>
          <w:bottom w:val="nil"/>
          <w:right w:val="nil"/>
          <w:between w:val="nil"/>
        </w:pBdr>
        <w:spacing w:line="360" w:lineRule="auto"/>
        <w:ind w:left="1" w:hanging="3"/>
        <w:jc w:val="both"/>
        <w:rPr>
          <w:color w:val="000000"/>
          <w:sz w:val="28"/>
          <w:szCs w:val="28"/>
        </w:rPr>
      </w:pPr>
      <w:r w:rsidRPr="00700E99">
        <w:rPr>
          <w:sz w:val="28"/>
          <w:szCs w:val="28"/>
        </w:rPr>
        <w:t>ПЦК “</w:t>
      </w:r>
      <w:r w:rsidRPr="00700E99">
        <w:rPr>
          <w:color w:val="000000"/>
          <w:sz w:val="28"/>
          <w:szCs w:val="28"/>
        </w:rPr>
        <w:t>Технология машиностроения</w:t>
      </w:r>
      <w:r w:rsidRPr="00700E99">
        <w:rPr>
          <w:sz w:val="28"/>
          <w:szCs w:val="28"/>
        </w:rPr>
        <w:t>”</w:t>
      </w:r>
      <w:r w:rsidRPr="00700E99">
        <w:rPr>
          <w:color w:val="000000"/>
          <w:sz w:val="28"/>
          <w:szCs w:val="28"/>
        </w:rPr>
        <w:t>;</w:t>
      </w:r>
    </w:p>
    <w:p w:rsidR="006D63A1" w:rsidRDefault="006D63A1" w:rsidP="006D63A1">
      <w:pPr>
        <w:numPr>
          <w:ilvl w:val="0"/>
          <w:numId w:val="1"/>
        </w:numPr>
        <w:pBdr>
          <w:top w:val="nil"/>
          <w:left w:val="nil"/>
          <w:bottom w:val="nil"/>
          <w:right w:val="nil"/>
          <w:between w:val="nil"/>
        </w:pBdr>
        <w:spacing w:line="360" w:lineRule="auto"/>
        <w:ind w:left="1" w:hanging="3"/>
        <w:jc w:val="both"/>
        <w:rPr>
          <w:color w:val="000000"/>
          <w:sz w:val="28"/>
          <w:szCs w:val="28"/>
        </w:rPr>
      </w:pPr>
      <w:r>
        <w:rPr>
          <w:sz w:val="28"/>
          <w:szCs w:val="28"/>
        </w:rPr>
        <w:t>ПЦК “Современных технологий и сервиса”;</w:t>
      </w:r>
    </w:p>
    <w:p w:rsidR="006D63A1" w:rsidRDefault="006D63A1" w:rsidP="006D63A1">
      <w:pPr>
        <w:numPr>
          <w:ilvl w:val="0"/>
          <w:numId w:val="1"/>
        </w:numPr>
        <w:pBdr>
          <w:top w:val="nil"/>
          <w:left w:val="nil"/>
          <w:bottom w:val="nil"/>
          <w:right w:val="nil"/>
          <w:between w:val="nil"/>
        </w:pBdr>
        <w:spacing w:line="360" w:lineRule="auto"/>
        <w:ind w:left="1" w:hanging="3"/>
        <w:jc w:val="both"/>
        <w:rPr>
          <w:color w:val="000000"/>
          <w:sz w:val="28"/>
          <w:szCs w:val="28"/>
        </w:rPr>
      </w:pPr>
      <w:r>
        <w:rPr>
          <w:sz w:val="28"/>
          <w:szCs w:val="28"/>
        </w:rPr>
        <w:t xml:space="preserve">ПЦК “Электрооборудования </w:t>
      </w:r>
      <w:proofErr w:type="gramStart"/>
      <w:r>
        <w:rPr>
          <w:sz w:val="28"/>
          <w:szCs w:val="28"/>
        </w:rPr>
        <w:t>и  роботизации</w:t>
      </w:r>
      <w:proofErr w:type="gramEnd"/>
      <w:r>
        <w:rPr>
          <w:sz w:val="28"/>
          <w:szCs w:val="28"/>
        </w:rPr>
        <w:t>”;</w:t>
      </w:r>
    </w:p>
    <w:p w:rsidR="006D63A1" w:rsidRDefault="006D63A1" w:rsidP="006D63A1">
      <w:pPr>
        <w:numPr>
          <w:ilvl w:val="0"/>
          <w:numId w:val="1"/>
        </w:numPr>
        <w:pBdr>
          <w:top w:val="nil"/>
          <w:left w:val="nil"/>
          <w:bottom w:val="nil"/>
          <w:right w:val="nil"/>
          <w:between w:val="nil"/>
        </w:pBdr>
        <w:spacing w:line="360" w:lineRule="auto"/>
        <w:ind w:left="1" w:hanging="3"/>
        <w:jc w:val="both"/>
        <w:rPr>
          <w:sz w:val="28"/>
          <w:szCs w:val="28"/>
        </w:rPr>
      </w:pPr>
      <w:r>
        <w:rPr>
          <w:sz w:val="28"/>
          <w:szCs w:val="28"/>
        </w:rPr>
        <w:t>ПЦК “Промышленного производства”;</w:t>
      </w:r>
    </w:p>
    <w:p w:rsidR="006D63A1" w:rsidRDefault="006D63A1" w:rsidP="006D63A1">
      <w:pPr>
        <w:numPr>
          <w:ilvl w:val="0"/>
          <w:numId w:val="1"/>
        </w:numPr>
        <w:pBdr>
          <w:top w:val="nil"/>
          <w:left w:val="nil"/>
          <w:bottom w:val="nil"/>
          <w:right w:val="nil"/>
          <w:between w:val="nil"/>
        </w:pBdr>
        <w:spacing w:line="360" w:lineRule="auto"/>
        <w:ind w:left="1" w:hanging="3"/>
        <w:jc w:val="both"/>
        <w:rPr>
          <w:color w:val="000000"/>
          <w:sz w:val="28"/>
          <w:szCs w:val="28"/>
        </w:rPr>
      </w:pPr>
      <w:r>
        <w:rPr>
          <w:sz w:val="28"/>
          <w:szCs w:val="28"/>
        </w:rPr>
        <w:lastRenderedPageBreak/>
        <w:t>ПЦК “Информатики и математики”;</w:t>
      </w:r>
    </w:p>
    <w:p w:rsidR="006D63A1" w:rsidRDefault="006D63A1" w:rsidP="006D63A1">
      <w:pPr>
        <w:numPr>
          <w:ilvl w:val="0"/>
          <w:numId w:val="1"/>
        </w:numPr>
        <w:pBdr>
          <w:top w:val="nil"/>
          <w:left w:val="nil"/>
          <w:bottom w:val="nil"/>
          <w:right w:val="nil"/>
          <w:between w:val="nil"/>
        </w:pBdr>
        <w:spacing w:line="360" w:lineRule="auto"/>
        <w:ind w:left="1" w:hanging="3"/>
        <w:jc w:val="both"/>
        <w:rPr>
          <w:color w:val="000000"/>
          <w:sz w:val="28"/>
          <w:szCs w:val="28"/>
        </w:rPr>
      </w:pPr>
      <w:r>
        <w:rPr>
          <w:sz w:val="28"/>
          <w:szCs w:val="28"/>
        </w:rPr>
        <w:t>ПЦК “Социально-экономических дисциплин и коммуникаций”;</w:t>
      </w:r>
    </w:p>
    <w:p w:rsidR="006D63A1" w:rsidRDefault="006D63A1" w:rsidP="006D63A1">
      <w:pPr>
        <w:numPr>
          <w:ilvl w:val="0"/>
          <w:numId w:val="1"/>
        </w:numPr>
        <w:pBdr>
          <w:top w:val="nil"/>
          <w:left w:val="nil"/>
          <w:bottom w:val="nil"/>
          <w:right w:val="nil"/>
          <w:between w:val="nil"/>
        </w:pBdr>
        <w:spacing w:line="360" w:lineRule="auto"/>
        <w:ind w:left="1" w:hanging="3"/>
        <w:jc w:val="both"/>
        <w:rPr>
          <w:color w:val="000000"/>
          <w:sz w:val="28"/>
          <w:szCs w:val="28"/>
        </w:rPr>
      </w:pPr>
      <w:r>
        <w:rPr>
          <w:color w:val="000000"/>
          <w:sz w:val="28"/>
          <w:szCs w:val="28"/>
        </w:rPr>
        <w:t>П</w:t>
      </w:r>
      <w:r>
        <w:rPr>
          <w:sz w:val="28"/>
          <w:szCs w:val="28"/>
        </w:rPr>
        <w:t>ЦК “Гуманитарных дисциплин”;</w:t>
      </w:r>
    </w:p>
    <w:p w:rsidR="006D63A1" w:rsidRDefault="006D63A1" w:rsidP="006D63A1">
      <w:pPr>
        <w:numPr>
          <w:ilvl w:val="0"/>
          <w:numId w:val="1"/>
        </w:numPr>
        <w:pBdr>
          <w:top w:val="nil"/>
          <w:left w:val="nil"/>
          <w:bottom w:val="nil"/>
          <w:right w:val="nil"/>
          <w:between w:val="nil"/>
        </w:pBdr>
        <w:spacing w:line="360" w:lineRule="auto"/>
        <w:ind w:left="1" w:hanging="3"/>
        <w:jc w:val="both"/>
        <w:rPr>
          <w:color w:val="000000"/>
          <w:sz w:val="28"/>
          <w:szCs w:val="28"/>
        </w:rPr>
      </w:pPr>
      <w:r>
        <w:rPr>
          <w:sz w:val="28"/>
          <w:szCs w:val="28"/>
        </w:rPr>
        <w:t>ПЦК “Дополнительного образования и физической культуры”</w:t>
      </w:r>
    </w:p>
    <w:p w:rsidR="006D63A1" w:rsidRDefault="006D63A1" w:rsidP="006D63A1">
      <w:pPr>
        <w:numPr>
          <w:ilvl w:val="0"/>
          <w:numId w:val="1"/>
        </w:numPr>
        <w:pBdr>
          <w:top w:val="nil"/>
          <w:left w:val="nil"/>
          <w:bottom w:val="nil"/>
          <w:right w:val="nil"/>
          <w:between w:val="nil"/>
        </w:pBdr>
        <w:spacing w:line="360" w:lineRule="auto"/>
        <w:ind w:left="1" w:hanging="3"/>
        <w:jc w:val="both"/>
        <w:rPr>
          <w:sz w:val="28"/>
          <w:szCs w:val="28"/>
        </w:rPr>
      </w:pPr>
      <w:r>
        <w:rPr>
          <w:sz w:val="28"/>
          <w:szCs w:val="28"/>
        </w:rPr>
        <w:t>ПЦК “Естественнонаучных дисциплин”.</w:t>
      </w:r>
    </w:p>
    <w:p w:rsidR="006D63A1" w:rsidRDefault="006D63A1" w:rsidP="006D63A1">
      <w:pPr>
        <w:pBdr>
          <w:top w:val="nil"/>
          <w:left w:val="nil"/>
          <w:bottom w:val="nil"/>
          <w:right w:val="nil"/>
          <w:between w:val="nil"/>
        </w:pBdr>
        <w:spacing w:line="360" w:lineRule="auto"/>
        <w:ind w:left="-2" w:firstLineChars="303" w:firstLine="848"/>
        <w:jc w:val="both"/>
        <w:rPr>
          <w:color w:val="000000"/>
          <w:sz w:val="28"/>
          <w:szCs w:val="28"/>
        </w:rPr>
      </w:pPr>
      <w:r>
        <w:rPr>
          <w:color w:val="000000"/>
          <w:sz w:val="28"/>
          <w:szCs w:val="28"/>
        </w:rPr>
        <w:t xml:space="preserve">Для осуществления долгосрочного и текущего планирования учебно-воспитательной работы; решения вопросов зачисления, отчисления обучающихся из учреждения, перевода обучающихся; анализа </w:t>
      </w:r>
      <w:proofErr w:type="gramStart"/>
      <w:r>
        <w:rPr>
          <w:color w:val="000000"/>
          <w:sz w:val="28"/>
          <w:szCs w:val="28"/>
        </w:rPr>
        <w:t>итог</w:t>
      </w:r>
      <w:r>
        <w:rPr>
          <w:sz w:val="28"/>
          <w:szCs w:val="28"/>
        </w:rPr>
        <w:t xml:space="preserve">ов </w:t>
      </w:r>
      <w:r>
        <w:rPr>
          <w:color w:val="000000"/>
          <w:sz w:val="28"/>
          <w:szCs w:val="28"/>
        </w:rPr>
        <w:t xml:space="preserve"> нового</w:t>
      </w:r>
      <w:proofErr w:type="gramEnd"/>
      <w:r>
        <w:rPr>
          <w:color w:val="000000"/>
          <w:sz w:val="28"/>
          <w:szCs w:val="28"/>
        </w:rPr>
        <w:t xml:space="preserve"> приема, качества выпуска специалистов; заслушивания отчетов стипендиальной комиссии; обсуждение форм морального и материального поощрения обучающихся; координация участия обучающихся в конкурсах, фестивалях и т.д. создан Малый педагогический совет.</w:t>
      </w:r>
    </w:p>
    <w:p w:rsidR="006D63A1" w:rsidRDefault="006D63A1" w:rsidP="006D63A1">
      <w:pPr>
        <w:pBdr>
          <w:top w:val="nil"/>
          <w:left w:val="nil"/>
          <w:bottom w:val="nil"/>
          <w:right w:val="nil"/>
          <w:between w:val="nil"/>
        </w:pBdr>
        <w:spacing w:line="360" w:lineRule="auto"/>
        <w:ind w:left="-2" w:firstLineChars="303" w:firstLine="848"/>
        <w:jc w:val="both"/>
        <w:rPr>
          <w:color w:val="000000"/>
          <w:sz w:val="28"/>
          <w:szCs w:val="28"/>
        </w:rPr>
      </w:pPr>
      <w:r>
        <w:rPr>
          <w:color w:val="000000"/>
          <w:sz w:val="28"/>
          <w:szCs w:val="28"/>
        </w:rPr>
        <w:t>В соответствии с Уставом образовательного учреждения созданы основные структурные подразделения МЦК – Тренировочный полигон и Учебный центр. Утверждены положения о данных подразделениях. Созданы дополнительные структурные подразделения: учебно-производственный центр, центр образования и воспитания.</w:t>
      </w:r>
    </w:p>
    <w:p w:rsidR="006D63A1" w:rsidRPr="00700E99"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sidRPr="00700E99">
        <w:rPr>
          <w:color w:val="000000"/>
          <w:sz w:val="28"/>
          <w:szCs w:val="28"/>
        </w:rPr>
        <w:t xml:space="preserve">Основными направлениями работы учебно-производственного центра является: организация учебной и производственной практики, организация и проведение конкурсов профессионального мастерства, чемпионатов Ворлдскиллс среди студентов и выпускников, независимой оценки качества,  демонстрационного экзамена, </w:t>
      </w:r>
      <w:proofErr w:type="spellStart"/>
      <w:r w:rsidRPr="00700E99">
        <w:rPr>
          <w:color w:val="000000"/>
          <w:sz w:val="28"/>
          <w:szCs w:val="28"/>
        </w:rPr>
        <w:t>профориентационных</w:t>
      </w:r>
      <w:proofErr w:type="spellEnd"/>
      <w:r w:rsidRPr="00700E99">
        <w:rPr>
          <w:color w:val="000000"/>
          <w:sz w:val="28"/>
          <w:szCs w:val="28"/>
        </w:rPr>
        <w:t xml:space="preserve"> мероприятий среди школьников и студентов, трудоустройства выпускников, работы приемной компании по формированию контингента, обучения по программам профессионального обучения, переподготовки и повышении квалификации, взаимодействия с предприятиями региона и планирование внебюджетной деятельности.</w:t>
      </w:r>
    </w:p>
    <w:p w:rsidR="006D63A1" w:rsidRPr="00700E99"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sidRPr="00700E99">
        <w:rPr>
          <w:color w:val="000000"/>
          <w:sz w:val="28"/>
          <w:szCs w:val="28"/>
        </w:rPr>
        <w:t xml:space="preserve">Центр образования и воспитания включает в себя образовательную и воспитательную деятельность по реализации программ среднего </w:t>
      </w:r>
      <w:r w:rsidRPr="00700E99">
        <w:rPr>
          <w:color w:val="000000"/>
          <w:sz w:val="28"/>
          <w:szCs w:val="28"/>
        </w:rPr>
        <w:lastRenderedPageBreak/>
        <w:t>профессионального образования (программы подготовки квалифицированных рабочих, служащих и специалистов среднего звена).</w:t>
      </w:r>
    </w:p>
    <w:p w:rsidR="006D63A1" w:rsidRPr="00700E99"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sidRPr="00700E99">
        <w:rPr>
          <w:color w:val="000000"/>
          <w:sz w:val="28"/>
          <w:szCs w:val="28"/>
        </w:rPr>
        <w:t xml:space="preserve">Разработан регламент взаимодействия Учебного центра и Тренировочного полигона с центром образования и воспитания и учебно-производственного центра, позволяющий использовать кадровые, образовательные и материальные ресурсы. </w:t>
      </w:r>
    </w:p>
    <w:p w:rsidR="006D63A1" w:rsidRPr="00700E99"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sidRPr="00700E99">
        <w:rPr>
          <w:color w:val="000000"/>
          <w:sz w:val="28"/>
          <w:szCs w:val="28"/>
        </w:rPr>
        <w:t xml:space="preserve">Учебный центр осуществляет апробирование новых ФГОС СПО, </w:t>
      </w:r>
      <w:proofErr w:type="gramStart"/>
      <w:r w:rsidRPr="00700E99">
        <w:rPr>
          <w:color w:val="000000"/>
          <w:sz w:val="28"/>
          <w:szCs w:val="28"/>
        </w:rPr>
        <w:t>обеспечивает  учебно</w:t>
      </w:r>
      <w:proofErr w:type="gramEnd"/>
      <w:r w:rsidRPr="00700E99">
        <w:rPr>
          <w:color w:val="000000"/>
          <w:sz w:val="28"/>
          <w:szCs w:val="28"/>
        </w:rPr>
        <w:t>-методической поддержки внедрения новых ФГОС СПО по наиболее востребованным, новым и перспективным профессиям и специальностям, сетевое взаимодействие профессиональных образовательных организаций и масштабное распространение передовых практик в регионах.</w:t>
      </w:r>
    </w:p>
    <w:p w:rsidR="006D63A1" w:rsidRPr="00875E41" w:rsidRDefault="006D63A1" w:rsidP="006D63A1">
      <w:pPr>
        <w:pBdr>
          <w:top w:val="nil"/>
          <w:left w:val="nil"/>
          <w:bottom w:val="nil"/>
          <w:right w:val="nil"/>
          <w:between w:val="nil"/>
        </w:pBdr>
        <w:spacing w:line="360" w:lineRule="auto"/>
        <w:ind w:left="-2" w:firstLineChars="252" w:firstLine="706"/>
        <w:jc w:val="both"/>
        <w:rPr>
          <w:sz w:val="28"/>
          <w:szCs w:val="28"/>
        </w:rPr>
      </w:pPr>
      <w:r w:rsidRPr="00CE4DDE">
        <w:rPr>
          <w:sz w:val="28"/>
          <w:szCs w:val="28"/>
        </w:rPr>
        <w:t>На Тренировочном полигоне проводится подготовка участников к Региональным и Национальным чемпионатам Ворлдскиллс Россия, тренировки (в форме стажировок) участников чемпионатов субъектов РФ (В 2019 году проведены тренировки участников г. Сахалина по компетенции «Обработка листового металла»). Площадки Тренировочного полигона ежегодно задействованы для проведения Регионального чемпионата, Отборочных соревнований на право участия в Национальном чемпионате Ворлдскиллс Россия, корпоративного чемпионата по профессиональному мастерству ПАО Компании «Сухой» по стандартам Ворлдскиллс.</w:t>
      </w:r>
    </w:p>
    <w:p w:rsidR="006D63A1"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sidRPr="00700E99">
        <w:rPr>
          <w:color w:val="000000"/>
          <w:sz w:val="28"/>
          <w:szCs w:val="28"/>
        </w:rPr>
        <w:t xml:space="preserve">В учреждении разработана Программа </w:t>
      </w:r>
      <w:r>
        <w:rPr>
          <w:color w:val="000000"/>
          <w:sz w:val="28"/>
          <w:szCs w:val="28"/>
        </w:rPr>
        <w:t>модернизации</w:t>
      </w:r>
      <w:r w:rsidRPr="00700E99">
        <w:rPr>
          <w:color w:val="000000"/>
          <w:sz w:val="28"/>
          <w:szCs w:val="28"/>
        </w:rPr>
        <w:t xml:space="preserve"> КГА ПОУ «Губернаторский авиастроительный колледж г. Комсомольска - на -Амуре (Межрегиональный центр компетенций)» на 201</w:t>
      </w:r>
      <w:r>
        <w:rPr>
          <w:color w:val="000000"/>
          <w:sz w:val="28"/>
          <w:szCs w:val="28"/>
        </w:rPr>
        <w:t>8</w:t>
      </w:r>
      <w:r w:rsidRPr="00700E99">
        <w:rPr>
          <w:color w:val="000000"/>
          <w:sz w:val="28"/>
          <w:szCs w:val="28"/>
        </w:rPr>
        <w:t xml:space="preserve"> –2020 </w:t>
      </w:r>
      <w:proofErr w:type="spellStart"/>
      <w:r w:rsidRPr="00700E99">
        <w:rPr>
          <w:color w:val="000000"/>
          <w:sz w:val="28"/>
          <w:szCs w:val="28"/>
        </w:rPr>
        <w:t>г.г</w:t>
      </w:r>
      <w:proofErr w:type="spellEnd"/>
      <w:r w:rsidRPr="00700E99">
        <w:rPr>
          <w:color w:val="000000"/>
          <w:sz w:val="28"/>
          <w:szCs w:val="28"/>
        </w:rPr>
        <w:t>. Целью данной программы является создание нормативных, организационных, финансовых, методических и научных условий для развития учреждения, реализующего программы подготовки квалифицированных рабочих, служащих и программы подготовки специалистов среднего звена, позволяющих выстраивать гибкие (модульные) траектории освоения новых компетенций в интересах обучающихся и их родителей, социальных партнёров и общества в целом.</w:t>
      </w:r>
    </w:p>
    <w:p w:rsidR="006D63A1"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Pr>
          <w:color w:val="000000"/>
          <w:sz w:val="28"/>
          <w:szCs w:val="28"/>
        </w:rPr>
        <w:lastRenderedPageBreak/>
        <w:t xml:space="preserve">Также внесены изменения в </w:t>
      </w:r>
      <w:r w:rsidRPr="00700E99">
        <w:rPr>
          <w:color w:val="000000"/>
          <w:sz w:val="28"/>
          <w:szCs w:val="28"/>
        </w:rPr>
        <w:t>Программ</w:t>
      </w:r>
      <w:r>
        <w:rPr>
          <w:color w:val="000000"/>
          <w:sz w:val="28"/>
          <w:szCs w:val="28"/>
        </w:rPr>
        <w:t>у</w:t>
      </w:r>
      <w:r w:rsidRPr="00700E99">
        <w:rPr>
          <w:color w:val="000000"/>
          <w:sz w:val="28"/>
          <w:szCs w:val="28"/>
        </w:rPr>
        <w:t xml:space="preserve"> </w:t>
      </w:r>
      <w:r>
        <w:rPr>
          <w:color w:val="000000"/>
          <w:sz w:val="28"/>
          <w:szCs w:val="28"/>
        </w:rPr>
        <w:t>модернизации</w:t>
      </w:r>
      <w:r w:rsidRPr="00700E99">
        <w:rPr>
          <w:color w:val="000000"/>
          <w:sz w:val="28"/>
          <w:szCs w:val="28"/>
        </w:rPr>
        <w:t xml:space="preserve"> КГА ПОУ «Губернаторский авиастроительный колледж г. Комсомольска - на -Амуре (Межрегиональный центр компетенций)» на 201</w:t>
      </w:r>
      <w:r>
        <w:rPr>
          <w:color w:val="000000"/>
          <w:sz w:val="28"/>
          <w:szCs w:val="28"/>
        </w:rPr>
        <w:t>8</w:t>
      </w:r>
      <w:r w:rsidRPr="00700E99">
        <w:rPr>
          <w:color w:val="000000"/>
          <w:sz w:val="28"/>
          <w:szCs w:val="28"/>
        </w:rPr>
        <w:t xml:space="preserve"> –2020 </w:t>
      </w:r>
      <w:proofErr w:type="spellStart"/>
      <w:r w:rsidRPr="00700E99">
        <w:rPr>
          <w:color w:val="000000"/>
          <w:sz w:val="28"/>
          <w:szCs w:val="28"/>
        </w:rPr>
        <w:t>г.г</w:t>
      </w:r>
      <w:proofErr w:type="spellEnd"/>
      <w:r w:rsidRPr="00700E99">
        <w:rPr>
          <w:color w:val="000000"/>
          <w:sz w:val="28"/>
          <w:szCs w:val="28"/>
        </w:rPr>
        <w:t>.</w:t>
      </w:r>
      <w:r>
        <w:rPr>
          <w:color w:val="000000"/>
          <w:sz w:val="28"/>
          <w:szCs w:val="28"/>
        </w:rPr>
        <w:t xml:space="preserve">  с целью </w:t>
      </w:r>
      <w:r>
        <w:t>о</w:t>
      </w:r>
      <w:r>
        <w:rPr>
          <w:color w:val="000000"/>
          <w:sz w:val="28"/>
          <w:szCs w:val="28"/>
        </w:rPr>
        <w:t>беспечения</w:t>
      </w:r>
      <w:r w:rsidRPr="00904813">
        <w:rPr>
          <w:color w:val="000000"/>
          <w:sz w:val="28"/>
          <w:szCs w:val="28"/>
        </w:rPr>
        <w:t xml:space="preserve"> </w:t>
      </w:r>
      <w:proofErr w:type="gramStart"/>
      <w:r w:rsidRPr="00904813">
        <w:rPr>
          <w:color w:val="000000"/>
          <w:sz w:val="28"/>
          <w:szCs w:val="28"/>
        </w:rPr>
        <w:t>прав</w:t>
      </w:r>
      <w:proofErr w:type="gramEnd"/>
      <w:r w:rsidRPr="00904813">
        <w:rPr>
          <w:color w:val="000000"/>
          <w:sz w:val="28"/>
          <w:szCs w:val="28"/>
        </w:rPr>
        <w:t xml:space="preserve"> обучающихся с ограниченными возможностями здоровья на доступное, качественное образование и условий для их успешной социализации.</w:t>
      </w:r>
    </w:p>
    <w:p w:rsidR="006D63A1" w:rsidRPr="00700E99"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sidRPr="00700E99">
        <w:rPr>
          <w:color w:val="000000"/>
          <w:sz w:val="28"/>
          <w:szCs w:val="28"/>
        </w:rPr>
        <w:t xml:space="preserve">В учреждении регулярно проводятся инструктажи по охране труда и пожарной безопасности, проверки знаний требований охраны труда и пожарной безопасности, обучение безопасным методам и приемам выполнения работ. </w:t>
      </w:r>
    </w:p>
    <w:p w:rsidR="006D63A1" w:rsidRPr="00700E99"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sidRPr="00700E99">
        <w:rPr>
          <w:color w:val="000000"/>
          <w:sz w:val="28"/>
          <w:szCs w:val="28"/>
        </w:rPr>
        <w:t xml:space="preserve">Таким образом, система управления </w:t>
      </w:r>
      <w:proofErr w:type="gramStart"/>
      <w:r w:rsidRPr="00700E99">
        <w:rPr>
          <w:color w:val="000000"/>
          <w:sz w:val="28"/>
          <w:szCs w:val="28"/>
        </w:rPr>
        <w:t>учреждения  обеспечивает</w:t>
      </w:r>
      <w:proofErr w:type="gramEnd"/>
      <w:r w:rsidRPr="00700E99">
        <w:rPr>
          <w:color w:val="000000"/>
          <w:sz w:val="28"/>
          <w:szCs w:val="28"/>
        </w:rPr>
        <w:t xml:space="preserve"> сбалансированное функционирование всех его структурных подразделений  и соответствует уставным требованиям.</w:t>
      </w:r>
    </w:p>
    <w:p w:rsidR="006D63A1" w:rsidRDefault="006D63A1" w:rsidP="006D63A1">
      <w:pPr>
        <w:pBdr>
          <w:top w:val="nil"/>
          <w:left w:val="nil"/>
          <w:bottom w:val="nil"/>
          <w:right w:val="nil"/>
          <w:between w:val="nil"/>
        </w:pBdr>
        <w:spacing w:line="360" w:lineRule="auto"/>
        <w:ind w:left="1" w:hanging="3"/>
        <w:jc w:val="center"/>
        <w:rPr>
          <w:color w:val="000000"/>
          <w:sz w:val="28"/>
          <w:szCs w:val="28"/>
        </w:rPr>
      </w:pPr>
      <w:r>
        <w:rPr>
          <w:b/>
          <w:color w:val="000000"/>
          <w:sz w:val="28"/>
          <w:szCs w:val="28"/>
        </w:rPr>
        <w:t>Правовое обеспечение деятельности образовательного учреждения</w:t>
      </w:r>
    </w:p>
    <w:p w:rsidR="006D63A1"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Pr>
          <w:color w:val="000000"/>
          <w:sz w:val="28"/>
          <w:szCs w:val="28"/>
        </w:rPr>
        <w:tab/>
        <w:t xml:space="preserve">В учреждении имеются нормативно-правовые документы Российской Федерации, Хабаровского края, регламентирующие деятельность профессионального образовательного учреждения.  </w:t>
      </w:r>
    </w:p>
    <w:p w:rsidR="006D63A1"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Pr>
          <w:color w:val="000000"/>
          <w:sz w:val="28"/>
          <w:szCs w:val="28"/>
        </w:rPr>
        <w:t xml:space="preserve">Правоустанавливающая </w:t>
      </w:r>
      <w:proofErr w:type="gramStart"/>
      <w:r>
        <w:rPr>
          <w:color w:val="000000"/>
          <w:sz w:val="28"/>
          <w:szCs w:val="28"/>
        </w:rPr>
        <w:t>документация  представлена</w:t>
      </w:r>
      <w:proofErr w:type="gramEnd"/>
      <w:r>
        <w:rPr>
          <w:color w:val="000000"/>
          <w:sz w:val="28"/>
          <w:szCs w:val="28"/>
        </w:rPr>
        <w:t xml:space="preserve"> локальными нормативными актами, размещенные на http://gaskk-mck.ru (далее – сайт) учреждения.</w:t>
      </w:r>
    </w:p>
    <w:p w:rsidR="006D63A1"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Pr>
          <w:color w:val="000000"/>
          <w:sz w:val="28"/>
          <w:szCs w:val="28"/>
        </w:rPr>
        <w:tab/>
        <w:t>Внутренний аудит нормативной базы учреждения показал, что имеется необходимое и достаточное количество нормативных документов, регламентирующих образовательную деятельность. Качество содержания и оформления локальных актов соответствует принципам законности, целесообразности и системности.</w:t>
      </w:r>
    </w:p>
    <w:p w:rsidR="006D63A1"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Pr>
          <w:color w:val="000000"/>
          <w:sz w:val="28"/>
          <w:szCs w:val="28"/>
        </w:rPr>
        <w:tab/>
        <w:t xml:space="preserve">   Оригиналы документов хранятся у генерального директора; копии Устава учреждения и локальных актов находятся в общедоступных местах и на сайте образовательного учреждения.</w:t>
      </w:r>
    </w:p>
    <w:p w:rsidR="006D63A1"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Pr>
          <w:color w:val="000000"/>
          <w:sz w:val="28"/>
          <w:szCs w:val="28"/>
        </w:rPr>
        <w:tab/>
        <w:t xml:space="preserve">Каждый вид локальных актов имеет свою структуру. Положения </w:t>
      </w:r>
      <w:proofErr w:type="gramStart"/>
      <w:r>
        <w:rPr>
          <w:color w:val="000000"/>
          <w:sz w:val="28"/>
          <w:szCs w:val="28"/>
        </w:rPr>
        <w:t>содержат  следующие</w:t>
      </w:r>
      <w:proofErr w:type="gramEnd"/>
      <w:r>
        <w:rPr>
          <w:color w:val="000000"/>
          <w:sz w:val="28"/>
          <w:szCs w:val="28"/>
        </w:rPr>
        <w:t xml:space="preserve"> разделы: общие или основные положения; задачи; функции; права; ответственность; делопроизводство.</w:t>
      </w:r>
      <w:r>
        <w:rPr>
          <w:color w:val="000000"/>
          <w:sz w:val="28"/>
          <w:szCs w:val="28"/>
        </w:rPr>
        <w:tab/>
        <w:t xml:space="preserve"> Задачи и функции сотрудников каждого органа управления учреждением, структурного подразделения, </w:t>
      </w:r>
      <w:r>
        <w:rPr>
          <w:color w:val="000000"/>
          <w:sz w:val="28"/>
          <w:szCs w:val="28"/>
        </w:rPr>
        <w:lastRenderedPageBreak/>
        <w:t>определенные в соответствующем Положении, уточняются в должностных инструкциях.</w:t>
      </w:r>
    </w:p>
    <w:p w:rsidR="006D63A1"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Pr>
          <w:color w:val="000000"/>
          <w:sz w:val="28"/>
          <w:szCs w:val="28"/>
        </w:rPr>
        <w:tab/>
        <w:t>Должностная инструкция работника состоит из следующих разделов: общие положения, должностные обязанности, права, ответственность.</w:t>
      </w:r>
    </w:p>
    <w:p w:rsidR="006D63A1"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Pr>
          <w:color w:val="000000"/>
          <w:sz w:val="28"/>
          <w:szCs w:val="28"/>
        </w:rPr>
        <w:tab/>
        <w:t>По мере необходимости должностные инструкции пересматриваются, корректируются или обновляются.</w:t>
      </w:r>
    </w:p>
    <w:p w:rsidR="006D63A1"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Pr>
          <w:color w:val="000000"/>
          <w:sz w:val="28"/>
          <w:szCs w:val="28"/>
        </w:rPr>
        <w:t>Вывод:</w:t>
      </w:r>
    </w:p>
    <w:p w:rsidR="006D63A1" w:rsidRDefault="006D63A1" w:rsidP="006D63A1">
      <w:pPr>
        <w:pBdr>
          <w:top w:val="nil"/>
          <w:left w:val="nil"/>
          <w:bottom w:val="nil"/>
          <w:right w:val="nil"/>
          <w:between w:val="nil"/>
        </w:pBdr>
        <w:spacing w:line="360" w:lineRule="auto"/>
        <w:ind w:left="-2" w:firstLineChars="252" w:firstLine="706"/>
        <w:jc w:val="both"/>
        <w:rPr>
          <w:color w:val="000000"/>
          <w:sz w:val="28"/>
          <w:szCs w:val="28"/>
        </w:rPr>
      </w:pPr>
      <w:r>
        <w:rPr>
          <w:color w:val="000000"/>
          <w:sz w:val="28"/>
          <w:szCs w:val="28"/>
        </w:rPr>
        <w:tab/>
        <w:t>Организационно-правовое обеспечение образовательной деятельности учреждения соответствует действующему законодательству Российской Федерации, нормативно-правовым актам министерства образования и науки Российской Федерации, Хабаровского края, Уставу учреждения.</w:t>
      </w:r>
    </w:p>
    <w:p w:rsidR="00EF254A" w:rsidRDefault="006D63A1" w:rsidP="006D63A1">
      <w:pPr>
        <w:pBdr>
          <w:top w:val="nil"/>
          <w:left w:val="nil"/>
          <w:bottom w:val="nil"/>
          <w:right w:val="nil"/>
          <w:between w:val="nil"/>
        </w:pBdr>
        <w:spacing w:line="360" w:lineRule="auto"/>
        <w:ind w:leftChars="0" w:left="0" w:firstLineChars="0" w:firstLine="0"/>
        <w:jc w:val="both"/>
        <w:rPr>
          <w:color w:val="000000"/>
          <w:sz w:val="28"/>
          <w:szCs w:val="28"/>
        </w:rPr>
      </w:pPr>
      <w:r>
        <w:rPr>
          <w:color w:val="000000"/>
          <w:sz w:val="28"/>
          <w:szCs w:val="28"/>
        </w:rPr>
        <w:tab/>
        <w:t>Протоколы всех коллегиальных органов управления, предметно-цикловых комиссий ведутся регулярно, соответствуют требованиям делопроизводства. Все необходимые распорядительные документы имеются в наличии.</w:t>
      </w:r>
    </w:p>
    <w:sectPr w:rsidR="00EF254A" w:rsidSect="006D63A1">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pgNumType w:start="1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C45" w:rsidRDefault="00666C45">
      <w:pPr>
        <w:spacing w:line="240" w:lineRule="auto"/>
        <w:ind w:left="0" w:hanging="2"/>
      </w:pPr>
      <w:r>
        <w:separator/>
      </w:r>
    </w:p>
  </w:endnote>
  <w:endnote w:type="continuationSeparator" w:id="0">
    <w:p w:rsidR="00666C45" w:rsidRDefault="00666C4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20002A87" w:usb1="00000000" w:usb2="00000000"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3A1" w:rsidRDefault="006D63A1">
    <w:pPr>
      <w:pStyle w:val="a7"/>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54A" w:rsidRDefault="00000950">
    <w:pPr>
      <w:pBdr>
        <w:top w:val="nil"/>
        <w:left w:val="nil"/>
        <w:bottom w:val="nil"/>
        <w:right w:val="nil"/>
        <w:between w:val="nil"/>
      </w:pBdr>
      <w:tabs>
        <w:tab w:val="center" w:pos="4677"/>
        <w:tab w:val="right" w:pos="9355"/>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6D63A1">
      <w:rPr>
        <w:noProof/>
        <w:color w:val="000000"/>
      </w:rPr>
      <w:t>11</w:t>
    </w:r>
    <w:r>
      <w:rPr>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3A1" w:rsidRDefault="006D63A1">
    <w:pPr>
      <w:pStyle w:val="a7"/>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C45" w:rsidRDefault="00666C45">
      <w:pPr>
        <w:spacing w:line="240" w:lineRule="auto"/>
        <w:ind w:left="0" w:hanging="2"/>
      </w:pPr>
      <w:r>
        <w:separator/>
      </w:r>
    </w:p>
  </w:footnote>
  <w:footnote w:type="continuationSeparator" w:id="0">
    <w:p w:rsidR="00666C45" w:rsidRDefault="00666C45">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3A1" w:rsidRDefault="006D63A1">
    <w:pPr>
      <w:pStyle w:val="a5"/>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3A1" w:rsidRDefault="006D63A1">
    <w:pPr>
      <w:pStyle w:val="a5"/>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63A1" w:rsidRDefault="006D63A1">
    <w:pPr>
      <w:pStyle w:val="a5"/>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1E5E03"/>
    <w:multiLevelType w:val="multilevel"/>
    <w:tmpl w:val="D0B2F8B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54A"/>
    <w:rsid w:val="00000950"/>
    <w:rsid w:val="001E5FF7"/>
    <w:rsid w:val="00666C45"/>
    <w:rsid w:val="006D63A1"/>
    <w:rsid w:val="00700E99"/>
    <w:rsid w:val="00904813"/>
    <w:rsid w:val="00EF25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CBEE0"/>
  <w15:docId w15:val="{E4249BF2-93D7-42DE-8CE1-8033BE6A4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line="1" w:lineRule="atLeast"/>
      <w:ind w:leftChars="-1" w:left="-1" w:hangingChars="1" w:hanging="1"/>
      <w:textDirection w:val="btLr"/>
      <w:textAlignment w:val="top"/>
      <w:outlineLvl w:val="0"/>
    </w:pPr>
    <w:rPr>
      <w:position w:val="-1"/>
      <w:sz w:val="24"/>
      <w:szCs w:val="24"/>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styleId="a4">
    <w:name w:val="Hyperlink"/>
    <w:rPr>
      <w:color w:val="0000FF"/>
      <w:w w:val="100"/>
      <w:position w:val="-1"/>
      <w:u w:val="single"/>
      <w:effect w:val="none"/>
      <w:vertAlign w:val="baseline"/>
      <w:cs w:val="0"/>
      <w:em w:val="none"/>
    </w:rPr>
  </w:style>
  <w:style w:type="paragraph" w:styleId="a5">
    <w:name w:val="header"/>
    <w:basedOn w:val="a"/>
    <w:pPr>
      <w:tabs>
        <w:tab w:val="center" w:pos="4677"/>
        <w:tab w:val="right" w:pos="9355"/>
      </w:tabs>
    </w:pPr>
  </w:style>
  <w:style w:type="character" w:customStyle="1" w:styleId="a6">
    <w:name w:val="Верхний колонтитул Знак"/>
    <w:rPr>
      <w:w w:val="100"/>
      <w:position w:val="-1"/>
      <w:sz w:val="24"/>
      <w:szCs w:val="24"/>
      <w:effect w:val="none"/>
      <w:vertAlign w:val="baseline"/>
      <w:cs w:val="0"/>
      <w:em w:val="none"/>
    </w:rPr>
  </w:style>
  <w:style w:type="paragraph" w:styleId="a7">
    <w:name w:val="footer"/>
    <w:basedOn w:val="a"/>
    <w:pPr>
      <w:tabs>
        <w:tab w:val="center" w:pos="4677"/>
        <w:tab w:val="right" w:pos="9355"/>
      </w:tabs>
    </w:pPr>
  </w:style>
  <w:style w:type="character" w:customStyle="1" w:styleId="a8">
    <w:name w:val="Нижний колонтитул Знак"/>
    <w:rPr>
      <w:w w:val="100"/>
      <w:position w:val="-1"/>
      <w:sz w:val="24"/>
      <w:szCs w:val="24"/>
      <w:effect w:val="none"/>
      <w:vertAlign w:val="baseline"/>
      <w:cs w:val="0"/>
      <w:em w:val="none"/>
    </w:rPr>
  </w:style>
  <w:style w:type="table" w:styleId="a9">
    <w:name w:val="Table Grid"/>
    <w:basedOn w:val="a1"/>
    <w:pPr>
      <w:suppressAutoHyphens/>
      <w:spacing w:line="1" w:lineRule="atLeast"/>
      <w:ind w:leftChars="-1" w:left="-1" w:hangingChars="1" w:hanging="1"/>
      <w:textDirection w:val="btLr"/>
      <w:textAlignment w:val="top"/>
      <w:outlineLvl w:val="0"/>
    </w:pPr>
    <w:rPr>
      <w:position w:val="-1"/>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pPr>
      <w:suppressAutoHyphens/>
      <w:spacing w:line="1" w:lineRule="atLeast"/>
      <w:ind w:leftChars="-1" w:left="-1" w:hangingChars="1" w:hanging="1"/>
      <w:textDirection w:val="btLr"/>
      <w:textAlignment w:val="top"/>
      <w:outlineLvl w:val="0"/>
    </w:pPr>
    <w:rPr>
      <w:position w:val="-1"/>
      <w:sz w:val="28"/>
      <w:szCs w:val="22"/>
      <w:lang w:eastAsia="en-US"/>
    </w:rPr>
  </w:style>
  <w:style w:type="paragraph" w:styleId="ab">
    <w:name w:val="Balloon Text"/>
    <w:basedOn w:val="a"/>
    <w:rPr>
      <w:rFonts w:ascii="Segoe UI" w:hAnsi="Segoe UI" w:cs="Segoe UI"/>
      <w:sz w:val="18"/>
      <w:szCs w:val="18"/>
    </w:rPr>
  </w:style>
  <w:style w:type="character" w:customStyle="1" w:styleId="ac">
    <w:name w:val="Текст выноски Знак"/>
    <w:rPr>
      <w:rFonts w:ascii="Segoe UI" w:hAnsi="Segoe UI" w:cs="Segoe UI"/>
      <w:w w:val="100"/>
      <w:position w:val="-1"/>
      <w:sz w:val="18"/>
      <w:szCs w:val="18"/>
      <w:effect w:val="none"/>
      <w:vertAlign w:val="baseline"/>
      <w:cs w:val="0"/>
      <w:em w:val="none"/>
    </w:rPr>
  </w:style>
  <w:style w:type="paragraph" w:styleId="ad">
    <w:name w:val="Subtitle"/>
    <w:basedOn w:val="a"/>
    <w:next w:val="a"/>
    <w:pPr>
      <w:keepNext/>
      <w:keepLines/>
      <w:spacing w:before="360" w:after="80"/>
    </w:pPr>
    <w:rPr>
      <w:rFonts w:ascii="Georgia" w:eastAsia="Georgia" w:hAnsi="Georgia" w:cs="Georgia"/>
      <w:i/>
      <w:color w:val="666666"/>
      <w:sz w:val="48"/>
      <w:szCs w:val="48"/>
    </w:rPr>
  </w:style>
  <w:style w:type="table" w:customStyle="1" w:styleId="ae">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c8rxTWxLyhZOo6ge6CDxRfIybw==">AMUW2mWXx/aXu1QJHGz+9oIfEb6XQ7vjhQQLwj9vkafeDeHwejpHafZ6L5TfMmzP7D+rQrvnjaeXdUmy2jGN6arBzmpOL0rKu0I3tYqj14hooa3/BxE8nZg=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1476</Words>
  <Characters>8416</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Administrator MCK</cp:lastModifiedBy>
  <cp:revision>3</cp:revision>
  <dcterms:created xsi:type="dcterms:W3CDTF">2020-04-07T01:20:00Z</dcterms:created>
  <dcterms:modified xsi:type="dcterms:W3CDTF">2020-04-11T10:26:00Z</dcterms:modified>
</cp:coreProperties>
</file>